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83" w:rsidRPr="00D34683" w:rsidRDefault="00D34683" w:rsidP="00D34683">
      <w:pPr>
        <w:spacing w:after="72" w:line="240" w:lineRule="auto"/>
        <w:jc w:val="center"/>
        <w:outlineLvl w:val="1"/>
        <w:rPr>
          <w:rFonts w:ascii="Copperplate Gothic Light" w:eastAsia="Times New Roman" w:hAnsi="Copperplate Gothic Light" w:cs="Times New Roman"/>
          <w:b/>
          <w:bCs/>
          <w:color w:val="000000"/>
          <w:sz w:val="32"/>
          <w:szCs w:val="24"/>
          <w:lang w:eastAsia="es-HN"/>
        </w:rPr>
      </w:pPr>
      <w:r w:rsidRPr="00D34683">
        <w:rPr>
          <w:rFonts w:ascii="Copperplate Gothic Light" w:eastAsia="Times New Roman" w:hAnsi="Copperplate Gothic Light" w:cs="Times New Roman"/>
          <w:b/>
          <w:bCs/>
          <w:color w:val="000000"/>
          <w:sz w:val="32"/>
          <w:szCs w:val="24"/>
          <w:lang w:eastAsia="es-HN"/>
        </w:rPr>
        <w:t>ASBESTOCIS</w:t>
      </w:r>
    </w:p>
    <w:p w:rsidR="00D34683" w:rsidRDefault="00D34683" w:rsidP="00D34683">
      <w:pPr>
        <w:spacing w:after="72" w:line="240" w:lineRule="auto"/>
        <w:jc w:val="both"/>
        <w:outlineLvl w:val="1"/>
        <w:rPr>
          <w:rFonts w:ascii="Copperplate Gothic Light" w:eastAsia="Times New Roman" w:hAnsi="Copperplate Gothic Light" w:cs="Times New Roman"/>
          <w:bCs/>
          <w:color w:val="000000"/>
          <w:sz w:val="24"/>
          <w:szCs w:val="24"/>
          <w:lang w:eastAsia="es-HN"/>
        </w:rPr>
      </w:pPr>
    </w:p>
    <w:p w:rsidR="00843179" w:rsidRPr="00843179" w:rsidRDefault="00843179" w:rsidP="00D34683">
      <w:pPr>
        <w:spacing w:after="72" w:line="240" w:lineRule="auto"/>
        <w:jc w:val="both"/>
        <w:outlineLvl w:val="1"/>
        <w:rPr>
          <w:rFonts w:ascii="Copperplate Gothic Light" w:eastAsia="Times New Roman" w:hAnsi="Copperplate Gothic Light" w:cs="Times New Roman"/>
          <w:b/>
          <w:bCs/>
          <w:color w:val="000000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b/>
          <w:bCs/>
          <w:color w:val="000000"/>
          <w:sz w:val="24"/>
          <w:szCs w:val="24"/>
          <w:lang w:eastAsia="es-HN"/>
        </w:rPr>
        <w:t>Yacimientos</w:t>
      </w:r>
    </w:p>
    <w:tbl>
      <w:tblPr>
        <w:tblW w:w="87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700"/>
      </w:tblGrid>
      <w:tr w:rsidR="00843179" w:rsidRPr="00843179" w:rsidTr="00843179">
        <w:trPr>
          <w:tblCellSpacing w:w="0" w:type="dxa"/>
        </w:trPr>
        <w:tc>
          <w:tcPr>
            <w:tcW w:w="8700" w:type="dxa"/>
            <w:hideMark/>
          </w:tcPr>
          <w:p w:rsidR="00843179" w:rsidRPr="00843179" w:rsidRDefault="00843179" w:rsidP="00D34683">
            <w:pPr>
              <w:spacing w:after="168" w:line="408" w:lineRule="atLeast"/>
              <w:jc w:val="both"/>
              <w:rPr>
                <w:rFonts w:ascii="Copperplate Gothic Light" w:eastAsia="Times New Roman" w:hAnsi="Copperplate Gothic Light" w:cs="Times New Roman"/>
                <w:sz w:val="24"/>
                <w:szCs w:val="24"/>
                <w:lang w:eastAsia="es-HN"/>
              </w:rPr>
            </w:pPr>
            <w:r w:rsidRPr="00843179">
              <w:rPr>
                <w:rFonts w:ascii="Copperplate Gothic Light" w:eastAsia="Times New Roman" w:hAnsi="Copperplate Gothic Light" w:cs="Times New Roman"/>
                <w:sz w:val="24"/>
                <w:szCs w:val="24"/>
                <w:lang w:eastAsia="es-HN"/>
              </w:rPr>
              <w:t>El amianto es un mineral que se halla en todos los lugares del mundo. Este mineral se extrae en minas a cielo abierto</w:t>
            </w:r>
          </w:p>
        </w:tc>
      </w:tr>
    </w:tbl>
    <w:p w:rsidR="00843179" w:rsidRDefault="00843179" w:rsidP="00D34683">
      <w:pPr>
        <w:spacing w:after="72" w:line="240" w:lineRule="auto"/>
        <w:jc w:val="both"/>
        <w:outlineLvl w:val="1"/>
        <w:rPr>
          <w:rStyle w:val="apple-style-span"/>
          <w:rFonts w:ascii="Copperplate Gothic Light" w:hAnsi="Copperplate Gothic Light"/>
          <w:color w:val="000000"/>
          <w:sz w:val="24"/>
          <w:szCs w:val="24"/>
        </w:rPr>
      </w:pPr>
      <w:r w:rsidRPr="00D34683">
        <w:rPr>
          <w:rStyle w:val="apple-style-span"/>
          <w:rFonts w:ascii="Copperplate Gothic Light" w:hAnsi="Copperplate Gothic Light"/>
          <w:color w:val="000000"/>
          <w:sz w:val="24"/>
          <w:szCs w:val="24"/>
        </w:rPr>
        <w:t>La minería más importante se encuentra en EEUU, Canadá, Sudáfrica, China y la antigua URSS</w:t>
      </w:r>
    </w:p>
    <w:p w:rsidR="00D34683" w:rsidRPr="00D34683" w:rsidRDefault="00D34683" w:rsidP="00D34683">
      <w:pPr>
        <w:spacing w:after="72" w:line="240" w:lineRule="auto"/>
        <w:jc w:val="both"/>
        <w:outlineLvl w:val="1"/>
        <w:rPr>
          <w:rStyle w:val="apple-style-span"/>
          <w:rFonts w:ascii="Copperplate Gothic Light" w:hAnsi="Copperplate Gothic Light"/>
          <w:color w:val="000000"/>
          <w:sz w:val="24"/>
          <w:szCs w:val="24"/>
        </w:rPr>
      </w:pPr>
    </w:p>
    <w:p w:rsidR="00D34683" w:rsidRDefault="00D34683" w:rsidP="00D34683">
      <w:pPr>
        <w:pStyle w:val="Ttulo2"/>
        <w:spacing w:before="0" w:beforeAutospacing="0" w:after="72" w:afterAutospacing="0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Productos</w:t>
      </w:r>
    </w:p>
    <w:tbl>
      <w:tblPr>
        <w:tblW w:w="8850" w:type="dxa"/>
        <w:tblCellSpacing w:w="0" w:type="dxa"/>
        <w:tblBorders>
          <w:top w:val="outset" w:sz="6" w:space="0" w:color="A4A33E"/>
          <w:left w:val="outset" w:sz="6" w:space="0" w:color="A4A33E"/>
          <w:bottom w:val="outset" w:sz="6" w:space="0" w:color="A4A33E"/>
          <w:right w:val="outset" w:sz="6" w:space="0" w:color="A4A33E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15"/>
        <w:gridCol w:w="2823"/>
        <w:gridCol w:w="3712"/>
      </w:tblGrid>
      <w:tr w:rsidR="00D34683" w:rsidTr="00D3468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shd w:val="clear" w:color="auto" w:fill="F2E5B9"/>
            <w:hideMark/>
          </w:tcPr>
          <w:p w:rsidR="00D34683" w:rsidRDefault="00D34683">
            <w:pPr>
              <w:pStyle w:val="Ttulo3"/>
              <w:spacing w:before="240" w:after="72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No friable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placa ondulada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diversos grosores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techos de naves y viviendas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Paneles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placas grises, 3 - 8 mm "patrón de celdas"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fachadas, techos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baldosas de vinilo para suelo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baldosa dura, dibujo llameado, pegada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suelos interiores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tabique ligero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blanco, amarillo-marrón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falsos techos, puertas, paneles cortafuegos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chimeneas, conductos de aire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placas, </w:t>
            </w:r>
            <w:proofErr w:type="spellStart"/>
            <w:r>
              <w:rPr>
                <w:rFonts w:ascii="Verdana" w:hAnsi="Verdana"/>
                <w:sz w:val="17"/>
                <w:szCs w:val="17"/>
              </w:rPr>
              <w:t>cilindricas</w:t>
            </w:r>
            <w:proofErr w:type="spellEnd"/>
            <w:r>
              <w:rPr>
                <w:rFonts w:ascii="Verdana" w:hAnsi="Verdana"/>
                <w:sz w:val="17"/>
                <w:szCs w:val="17"/>
              </w:rPr>
              <w:t xml:space="preserve"> y rectangulares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chimeneas/calefacción, conductos de ventilación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conductos de agua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tuberías cilíndricas, canalones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aseos, exterior, enterrados y bajantes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depósitos de agua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cilíndricos y rectangulares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tejados de viviendas y edificaciones industriales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Maceteros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rectangulares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interior y exterior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proofErr w:type="spellStart"/>
            <w:r>
              <w:rPr>
                <w:rFonts w:ascii="Verdana" w:hAnsi="Verdana"/>
                <w:b/>
                <w:bCs/>
                <w:sz w:val="17"/>
                <w:szCs w:val="17"/>
              </w:rPr>
              <w:lastRenderedPageBreak/>
              <w:t>fibro</w:t>
            </w:r>
            <w:proofErr w:type="spellEnd"/>
            <w:r>
              <w:rPr>
                <w:rFonts w:ascii="Verdana" w:hAnsi="Verdana"/>
                <w:b/>
                <w:bCs/>
                <w:sz w:val="17"/>
                <w:szCs w:val="17"/>
              </w:rPr>
              <w:t>-mármol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falso mármol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decorativo interior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Tejas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techos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shd w:val="clear" w:color="auto" w:fill="F2E5B9"/>
            <w:hideMark/>
          </w:tcPr>
          <w:p w:rsidR="00D34683" w:rsidRDefault="00D34683">
            <w:pPr>
              <w:pStyle w:val="Ttulo3"/>
              <w:spacing w:before="240" w:after="72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Friable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baldosas de vinilo para suelo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diversas variedades fabricadas antes de 1980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suelos interiores, escaleras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cordón trenzado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blanco-gris, con pelusa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juntas de calderas y tuberías, aislantes de tuberías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placas de diferentes densidades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placas de baja densidad, marrón claro/amarillo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falsos techos, techos, placas acústicas, escaleras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cartón o placas de baja densidad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placas de cartón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focos de calor, radiadores, calderas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amianto proyectado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'</w:t>
            </w:r>
            <w:proofErr w:type="spellStart"/>
            <w:r>
              <w:rPr>
                <w:rFonts w:ascii="Verdana" w:hAnsi="Verdana"/>
                <w:sz w:val="17"/>
                <w:szCs w:val="17"/>
              </w:rPr>
              <w:t>flocage</w:t>
            </w:r>
            <w:proofErr w:type="spellEnd"/>
            <w:r>
              <w:rPr>
                <w:rFonts w:ascii="Verdana" w:hAnsi="Verdana"/>
                <w:sz w:val="17"/>
                <w:szCs w:val="17"/>
              </w:rPr>
              <w:t>', pasta de amianto-agua-cemento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estructuras y vigas metálicas, aparcamientos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mortero de amianto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mortero de amianto-cemento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estructuras metálicas y tuberías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fibras puras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relleno de amianto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puertas cortafuegos, relleno de cámaras de aire y paredes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Juntas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cartón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juntas de tuberías y calderas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material textil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mantas, cintas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aislantes de tuberías y maquinas</w:t>
            </w:r>
          </w:p>
        </w:tc>
      </w:tr>
      <w:tr w:rsidR="00D34683" w:rsidTr="00D34683">
        <w:trPr>
          <w:tblCellSpacing w:w="0" w:type="dxa"/>
        </w:trPr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sz w:val="17"/>
                <w:szCs w:val="17"/>
              </w:rPr>
              <w:t>Prenda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prenda ignifuga</w:t>
            </w:r>
          </w:p>
        </w:tc>
        <w:tc>
          <w:tcPr>
            <w:tcW w:w="0" w:type="auto"/>
            <w:tcBorders>
              <w:top w:val="outset" w:sz="6" w:space="0" w:color="A4A33E"/>
              <w:left w:val="outset" w:sz="6" w:space="0" w:color="A4A33E"/>
              <w:bottom w:val="outset" w:sz="6" w:space="0" w:color="A4A33E"/>
              <w:right w:val="outset" w:sz="6" w:space="0" w:color="A4A33E"/>
            </w:tcBorders>
            <w:hideMark/>
          </w:tcPr>
          <w:p w:rsidR="00D34683" w:rsidRDefault="00D34683">
            <w:pPr>
              <w:pStyle w:val="NormalWeb"/>
              <w:spacing w:before="0" w:beforeAutospacing="0" w:after="168" w:afterAutospacing="0" w:line="408" w:lineRule="atLeas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guantes, mantas apaga-fuegos, </w:t>
            </w:r>
            <w:proofErr w:type="spellStart"/>
            <w:r>
              <w:rPr>
                <w:rFonts w:ascii="Verdana" w:hAnsi="Verdana"/>
                <w:sz w:val="17"/>
                <w:szCs w:val="17"/>
              </w:rPr>
              <w:t>etc</w:t>
            </w:r>
            <w:proofErr w:type="spellEnd"/>
          </w:p>
        </w:tc>
      </w:tr>
    </w:tbl>
    <w:p w:rsidR="00843179" w:rsidRPr="00D34683" w:rsidRDefault="00843179" w:rsidP="00D34683">
      <w:pPr>
        <w:spacing w:after="72" w:line="240" w:lineRule="auto"/>
        <w:jc w:val="both"/>
        <w:outlineLvl w:val="1"/>
        <w:rPr>
          <w:rFonts w:ascii="Copperplate Gothic Light" w:eastAsia="Times New Roman" w:hAnsi="Copperplate Gothic Light" w:cs="Times New Roman"/>
          <w:bCs/>
          <w:color w:val="000000"/>
          <w:sz w:val="24"/>
          <w:szCs w:val="24"/>
          <w:lang w:eastAsia="es-HN"/>
        </w:rPr>
      </w:pPr>
    </w:p>
    <w:p w:rsidR="00D34683" w:rsidRDefault="00D34683" w:rsidP="00D34683">
      <w:pPr>
        <w:spacing w:after="72" w:line="240" w:lineRule="auto"/>
        <w:jc w:val="both"/>
        <w:outlineLvl w:val="1"/>
        <w:rPr>
          <w:rFonts w:ascii="Copperplate Gothic Light" w:eastAsia="Times New Roman" w:hAnsi="Copperplate Gothic Light" w:cs="Times New Roman"/>
          <w:bCs/>
          <w:color w:val="000000"/>
          <w:sz w:val="24"/>
          <w:szCs w:val="24"/>
          <w:lang w:eastAsia="es-HN"/>
        </w:rPr>
      </w:pPr>
    </w:p>
    <w:p w:rsidR="00843179" w:rsidRPr="00843179" w:rsidRDefault="00843179" w:rsidP="00D34683">
      <w:pPr>
        <w:spacing w:after="72" w:line="240" w:lineRule="auto"/>
        <w:jc w:val="both"/>
        <w:outlineLvl w:val="1"/>
        <w:rPr>
          <w:rFonts w:ascii="Copperplate Gothic Light" w:eastAsia="Times New Roman" w:hAnsi="Copperplate Gothic Light" w:cs="Times New Roman"/>
          <w:b/>
          <w:bCs/>
          <w:color w:val="000000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b/>
          <w:bCs/>
          <w:color w:val="000000"/>
          <w:sz w:val="24"/>
          <w:szCs w:val="24"/>
          <w:lang w:eastAsia="es-HN"/>
        </w:rPr>
        <w:lastRenderedPageBreak/>
        <w:t>Riesgos para la salud</w:t>
      </w:r>
    </w:p>
    <w:p w:rsidR="00D34683" w:rsidRPr="00843179" w:rsidRDefault="00D34683" w:rsidP="00D34683">
      <w:pPr>
        <w:spacing w:after="168" w:line="408" w:lineRule="atLeast"/>
        <w:jc w:val="both"/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 xml:space="preserve">Si has tenido un solo contacto con amianto, apenas existe riesgo para la salud. Pero si estas en contacto frecuentemente con el amianto el riesgo </w:t>
      </w:r>
      <w:proofErr w:type="gramStart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aumenta</w:t>
      </w:r>
      <w:proofErr w:type="gramEnd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 xml:space="preserve"> significativamente, sin importar la variedad de amianto a la que estés expuesto.</w:t>
      </w:r>
    </w:p>
    <w:p w:rsidR="00D34683" w:rsidRPr="00843179" w:rsidRDefault="00D34683" w:rsidP="00D34683">
      <w:pPr>
        <w:spacing w:after="168" w:line="408" w:lineRule="atLeast"/>
        <w:jc w:val="both"/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 xml:space="preserve">El riesgo de que pasen fibras respirables al aire aumenta durante la manipulación de materiales que contienen amianto, </w:t>
      </w:r>
      <w:proofErr w:type="spellStart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p.e.</w:t>
      </w:r>
      <w:proofErr w:type="spellEnd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 xml:space="preserve"> en trabajos de demolición, corte, taladrado, rotura o cuando los materiales están muy envejecidos. Por este motivo este sector de población es el potencialmente más expuesto ya que además, en general, desconocen totalmente su presencia y sus peligros.</w:t>
      </w:r>
    </w:p>
    <w:p w:rsidR="00D34683" w:rsidRPr="00843179" w:rsidRDefault="00D34683" w:rsidP="00D34683">
      <w:pPr>
        <w:spacing w:after="168" w:line="408" w:lineRule="atLeast"/>
        <w:jc w:val="both"/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Por este motivo las personas que por su profesión estén expuestas al amianto, como en trabajos de derribos y mantenimiento, siempre deben llevar Equipos de Protección Individual (</w:t>
      </w:r>
      <w:proofErr w:type="spellStart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EPIs</w:t>
      </w:r>
      <w:proofErr w:type="spellEnd"/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).</w:t>
      </w:r>
    </w:p>
    <w:p w:rsidR="00D34683" w:rsidRPr="00843179" w:rsidRDefault="00D34683" w:rsidP="00D34683">
      <w:pPr>
        <w:spacing w:after="168" w:line="408" w:lineRule="atLeast"/>
        <w:jc w:val="both"/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sz w:val="24"/>
          <w:szCs w:val="24"/>
          <w:lang w:eastAsia="es-HN"/>
        </w:rPr>
        <w:t>La principal vía de entrada del amianto es la vía respiratoria. Las fibras de amianto, debido a sus características aerodinámicas, pequeño tamaño y forma alargada, pueden permanecer en suspensión en el aire el tiempo suficiente, para que representen un riesgo respiratorio. Igualmente, pueden adherirse a la ropa y a la piel y desprenderse posteriormente con el consiguiente riesgo de inhalación. La exposición al amianto puede ocasionar tres tipos de enfermedades irreversibles:</w:t>
      </w:r>
    </w:p>
    <w:p w:rsidR="00D34683" w:rsidRPr="00843179" w:rsidRDefault="00D34683" w:rsidP="00D34683">
      <w:pPr>
        <w:spacing w:before="100" w:beforeAutospacing="1" w:after="72" w:line="240" w:lineRule="auto"/>
        <w:jc w:val="both"/>
        <w:outlineLvl w:val="4"/>
        <w:rPr>
          <w:rFonts w:ascii="Copperplate Gothic Light" w:eastAsia="Times New Roman" w:hAnsi="Copperplate Gothic Light" w:cs="Times New Roman"/>
          <w:bCs/>
          <w:sz w:val="24"/>
          <w:szCs w:val="24"/>
          <w:lang w:eastAsia="es-HN"/>
        </w:rPr>
      </w:pPr>
      <w:r w:rsidRPr="00843179">
        <w:rPr>
          <w:rFonts w:ascii="Copperplate Gothic Light" w:eastAsia="Times New Roman" w:hAnsi="Copperplate Gothic Light" w:cs="Times New Roman"/>
          <w:bCs/>
          <w:sz w:val="24"/>
          <w:szCs w:val="24"/>
          <w:lang w:eastAsia="es-HN"/>
        </w:rPr>
        <w:t>Cáncer de pulmón</w:t>
      </w:r>
    </w:p>
    <w:p w:rsidR="00D34683" w:rsidRPr="00D34683" w:rsidRDefault="00D34683" w:rsidP="00D34683">
      <w:pPr>
        <w:pStyle w:val="NormalWeb"/>
        <w:spacing w:before="0" w:beforeAutospacing="0" w:after="168" w:afterAutospacing="0" w:line="408" w:lineRule="atLeast"/>
        <w:jc w:val="both"/>
        <w:rPr>
          <w:rFonts w:ascii="Copperplate Gothic Light" w:hAnsi="Copperplate Gothic Light"/>
          <w:color w:val="000000"/>
        </w:rPr>
      </w:pPr>
      <w:r w:rsidRPr="00843179">
        <w:rPr>
          <w:rFonts w:ascii="Copperplate Gothic Light" w:hAnsi="Copperplate Gothic Light"/>
        </w:rPr>
        <w:t>El cáncer de pulmón es la primera causa de muerte relacionada con el amianto en los pacientes expuestos.</w:t>
      </w:r>
      <w:r w:rsidRPr="00D34683">
        <w:rPr>
          <w:rFonts w:ascii="Copperplate Gothic Light" w:hAnsi="Copperplate Gothic Light"/>
        </w:rPr>
        <w:t xml:space="preserve"> </w:t>
      </w:r>
      <w:r w:rsidRPr="00D34683">
        <w:rPr>
          <w:rFonts w:ascii="Copperplate Gothic Light" w:hAnsi="Copperplate Gothic Light"/>
          <w:color w:val="000000"/>
        </w:rPr>
        <w:t xml:space="preserve">Todas las fibras de amianto pueden causar cáncer, aunque la </w:t>
      </w:r>
      <w:proofErr w:type="spellStart"/>
      <w:r w:rsidRPr="00D34683">
        <w:rPr>
          <w:rFonts w:ascii="Copperplate Gothic Light" w:hAnsi="Copperplate Gothic Light"/>
          <w:color w:val="000000"/>
        </w:rPr>
        <w:t>crocidolita</w:t>
      </w:r>
      <w:proofErr w:type="spellEnd"/>
      <w:r w:rsidRPr="00D34683">
        <w:rPr>
          <w:rFonts w:ascii="Copperplate Gothic Light" w:hAnsi="Copperplate Gothic Light"/>
          <w:color w:val="000000"/>
        </w:rPr>
        <w:t xml:space="preserve"> (amianto azul) es la más cancerígena de todas. Se cree que el amianto actúa como un </w:t>
      </w:r>
      <w:proofErr w:type="spellStart"/>
      <w:r w:rsidRPr="00D34683">
        <w:rPr>
          <w:rFonts w:ascii="Copperplate Gothic Light" w:hAnsi="Copperplate Gothic Light"/>
          <w:color w:val="000000"/>
        </w:rPr>
        <w:t>cocarcinógeno</w:t>
      </w:r>
      <w:proofErr w:type="spellEnd"/>
      <w:r w:rsidRPr="00D34683">
        <w:rPr>
          <w:rFonts w:ascii="Copperplate Gothic Light" w:hAnsi="Copperplate Gothic Light"/>
          <w:color w:val="000000"/>
        </w:rPr>
        <w:t xml:space="preserve"> junto al tabaco, cuya inducción de cáncer de pulmón es bien conocida. El cáncer de pulmón es una </w:t>
      </w:r>
      <w:r w:rsidRPr="00D34683">
        <w:rPr>
          <w:rFonts w:ascii="Copperplate Gothic Light" w:hAnsi="Copperplate Gothic Light"/>
          <w:color w:val="000000"/>
        </w:rPr>
        <w:lastRenderedPageBreak/>
        <w:t>enfermedad con un período de latencia prolongado. Las manifestaciones clínicas del cáncer de pulmón incluyen la pérdida del apetito y de peso, el cansancio, el dolor torácico, la hemoptisis o expectoración de sangre y la dificultad respiratoria.</w:t>
      </w:r>
    </w:p>
    <w:p w:rsidR="00D34683" w:rsidRPr="00D34683" w:rsidRDefault="00D34683" w:rsidP="00D34683">
      <w:pPr>
        <w:pStyle w:val="Ttulo5"/>
        <w:spacing w:after="72" w:afterAutospacing="0"/>
        <w:jc w:val="both"/>
        <w:rPr>
          <w:rFonts w:ascii="Copperplate Gothic Light" w:hAnsi="Copperplate Gothic Light"/>
          <w:b w:val="0"/>
          <w:color w:val="000000"/>
          <w:sz w:val="24"/>
          <w:szCs w:val="24"/>
        </w:rPr>
      </w:pPr>
      <w:proofErr w:type="spellStart"/>
      <w:r w:rsidRPr="00D34683">
        <w:rPr>
          <w:rFonts w:ascii="Copperplate Gothic Light" w:hAnsi="Copperplate Gothic Light"/>
          <w:b w:val="0"/>
          <w:color w:val="000000"/>
          <w:sz w:val="24"/>
          <w:szCs w:val="24"/>
        </w:rPr>
        <w:t>Mesotelioma</w:t>
      </w:r>
      <w:proofErr w:type="spellEnd"/>
      <w:r w:rsidRPr="00D34683">
        <w:rPr>
          <w:rFonts w:ascii="Copperplate Gothic Light" w:hAnsi="Copperplate Gothic Light"/>
          <w:b w:val="0"/>
          <w:color w:val="000000"/>
          <w:sz w:val="24"/>
          <w:szCs w:val="24"/>
        </w:rPr>
        <w:t xml:space="preserve"> maligno</w:t>
      </w:r>
    </w:p>
    <w:p w:rsidR="00D34683" w:rsidRPr="00D34683" w:rsidRDefault="00D34683" w:rsidP="00D34683">
      <w:pPr>
        <w:pStyle w:val="NormalWeb"/>
        <w:spacing w:before="0" w:beforeAutospacing="0" w:after="168" w:afterAutospacing="0" w:line="408" w:lineRule="atLeast"/>
        <w:jc w:val="both"/>
        <w:rPr>
          <w:rFonts w:ascii="Copperplate Gothic Light" w:hAnsi="Copperplate Gothic Light"/>
          <w:color w:val="000000"/>
        </w:rPr>
      </w:pPr>
      <w:r w:rsidRPr="00D34683">
        <w:rPr>
          <w:rFonts w:ascii="Copperplate Gothic Light" w:hAnsi="Copperplate Gothic Light"/>
          <w:color w:val="000000"/>
        </w:rPr>
        <w:t xml:space="preserve">El </w:t>
      </w:r>
      <w:proofErr w:type="spellStart"/>
      <w:r w:rsidRPr="00D34683">
        <w:rPr>
          <w:rFonts w:ascii="Copperplate Gothic Light" w:hAnsi="Copperplate Gothic Light"/>
          <w:color w:val="000000"/>
        </w:rPr>
        <w:t>mesotelioma</w:t>
      </w:r>
      <w:proofErr w:type="spellEnd"/>
      <w:r w:rsidRPr="00D34683">
        <w:rPr>
          <w:rFonts w:ascii="Copperplate Gothic Light" w:hAnsi="Copperplate Gothic Light"/>
          <w:color w:val="000000"/>
        </w:rPr>
        <w:t xml:space="preserve"> maligno es el cáncer de la célula </w:t>
      </w:r>
      <w:proofErr w:type="spellStart"/>
      <w:r w:rsidRPr="00D34683">
        <w:rPr>
          <w:rFonts w:ascii="Copperplate Gothic Light" w:hAnsi="Copperplate Gothic Light"/>
          <w:color w:val="000000"/>
        </w:rPr>
        <w:t>mesotelial</w:t>
      </w:r>
      <w:proofErr w:type="spellEnd"/>
      <w:r w:rsidRPr="00D34683">
        <w:rPr>
          <w:rFonts w:ascii="Copperplate Gothic Light" w:hAnsi="Copperplate Gothic Light"/>
          <w:color w:val="000000"/>
        </w:rPr>
        <w:t xml:space="preserve">, y afecta a la pleura y al peritoneo en el 80 y 20% de los casos, respectivamente. Se suele producir en personas que han estado expuestas de forma laboral al amianto </w:t>
      </w:r>
      <w:proofErr w:type="gramStart"/>
      <w:r w:rsidRPr="00D34683">
        <w:rPr>
          <w:rFonts w:ascii="Copperplate Gothic Light" w:hAnsi="Copperplate Gothic Light"/>
          <w:color w:val="000000"/>
        </w:rPr>
        <w:t>al</w:t>
      </w:r>
      <w:proofErr w:type="gramEnd"/>
      <w:r w:rsidRPr="00D34683">
        <w:rPr>
          <w:rFonts w:ascii="Copperplate Gothic Light" w:hAnsi="Copperplate Gothic Light"/>
          <w:color w:val="000000"/>
        </w:rPr>
        <w:t xml:space="preserve"> menos 30 años antes, aunque en ocasiones se ha desarrollado en personas con exposiciones muy leves.</w:t>
      </w:r>
    </w:p>
    <w:p w:rsidR="00D34683" w:rsidRPr="00D34683" w:rsidRDefault="00D34683" w:rsidP="00D34683">
      <w:pPr>
        <w:pStyle w:val="Ttulo5"/>
        <w:spacing w:after="72" w:afterAutospacing="0"/>
        <w:jc w:val="both"/>
        <w:rPr>
          <w:rFonts w:ascii="Copperplate Gothic Light" w:hAnsi="Copperplate Gothic Light"/>
          <w:b w:val="0"/>
          <w:color w:val="000000"/>
          <w:sz w:val="24"/>
          <w:szCs w:val="24"/>
        </w:rPr>
      </w:pPr>
      <w:r w:rsidRPr="00D34683">
        <w:rPr>
          <w:rFonts w:ascii="Copperplate Gothic Light" w:hAnsi="Copperplate Gothic Light"/>
          <w:b w:val="0"/>
          <w:color w:val="000000"/>
          <w:sz w:val="24"/>
          <w:szCs w:val="24"/>
        </w:rPr>
        <w:t>Asbestosis</w:t>
      </w:r>
    </w:p>
    <w:p w:rsidR="00D34683" w:rsidRPr="00D34683" w:rsidRDefault="00D34683" w:rsidP="00D34683">
      <w:pPr>
        <w:pStyle w:val="NormalWeb"/>
        <w:spacing w:before="0" w:beforeAutospacing="0" w:after="168" w:afterAutospacing="0" w:line="408" w:lineRule="atLeast"/>
        <w:jc w:val="both"/>
        <w:rPr>
          <w:rFonts w:ascii="Copperplate Gothic Light" w:hAnsi="Copperplate Gothic Light"/>
          <w:color w:val="000000"/>
        </w:rPr>
      </w:pPr>
      <w:r w:rsidRPr="00D34683">
        <w:rPr>
          <w:rFonts w:ascii="Copperplate Gothic Light" w:hAnsi="Copperplate Gothic Light"/>
          <w:color w:val="000000"/>
        </w:rPr>
        <w:t xml:space="preserve">Enfermedad pulmonar crónica producida por la inhalación de fibras de amianto. Las fibras penetran en los pulmones e irritan el tejido pulmonar, lo inflaman y provocan, </w:t>
      </w:r>
      <w:proofErr w:type="spellStart"/>
      <w:r w:rsidRPr="00D34683">
        <w:rPr>
          <w:rFonts w:ascii="Copperplate Gothic Light" w:hAnsi="Copperplate Gothic Light"/>
          <w:color w:val="000000"/>
        </w:rPr>
        <w:t>a</w:t>
      </w:r>
      <w:proofErr w:type="spellEnd"/>
      <w:r w:rsidRPr="00D34683">
        <w:rPr>
          <w:rFonts w:ascii="Copperplate Gothic Light" w:hAnsi="Copperplate Gothic Light"/>
          <w:color w:val="000000"/>
        </w:rPr>
        <w:t xml:space="preserve"> cabo de unos años, una fibrosis pulmonar (engrosamiento y cicatrización del tejido pulmonar). Puede pasar mucho tiempo (20 años o más) entre la exposición a las fibras de amianto y el comienzo de la enfermedad.</w:t>
      </w:r>
    </w:p>
    <w:p w:rsidR="00D34683" w:rsidRPr="00D34683" w:rsidRDefault="00D34683" w:rsidP="00D34683">
      <w:pPr>
        <w:pStyle w:val="NormalWeb"/>
        <w:spacing w:before="0" w:beforeAutospacing="0" w:after="168" w:afterAutospacing="0" w:line="408" w:lineRule="atLeast"/>
        <w:jc w:val="both"/>
        <w:rPr>
          <w:rFonts w:ascii="Copperplate Gothic Light" w:hAnsi="Copperplate Gothic Light"/>
          <w:color w:val="000000"/>
        </w:rPr>
      </w:pPr>
      <w:r w:rsidRPr="00D34683">
        <w:rPr>
          <w:rFonts w:ascii="Copperplate Gothic Light" w:hAnsi="Copperplate Gothic Light"/>
          <w:color w:val="000000"/>
        </w:rPr>
        <w:t>El síntoma principal es una dificultad respiratoria que se va agravando a medida que progresa la enfermedad. También puede producir una tos seca y sensación de tirantez en el pecho.</w:t>
      </w:r>
    </w:p>
    <w:p w:rsidR="00843179" w:rsidRDefault="00843179" w:rsidP="00D34683">
      <w:pPr>
        <w:rPr>
          <w:rFonts w:ascii="Copperplate Gothic Light" w:hAnsi="Copperplate Gothic Light"/>
        </w:rPr>
      </w:pPr>
    </w:p>
    <w:p w:rsidR="00EE31E4" w:rsidRPr="00D34683" w:rsidRDefault="00EE31E4" w:rsidP="00D34683">
      <w:pPr>
        <w:rPr>
          <w:rFonts w:ascii="Copperplate Gothic Light" w:hAnsi="Copperplate Gothic Light"/>
        </w:rPr>
      </w:pPr>
      <w:hyperlink r:id="rId4" w:history="1">
        <w:r>
          <w:rPr>
            <w:rStyle w:val="Hipervnculo"/>
          </w:rPr>
          <w:t>http://www.amianto.net</w:t>
        </w:r>
      </w:hyperlink>
    </w:p>
    <w:sectPr w:rsidR="00EE31E4" w:rsidRPr="00D34683" w:rsidSect="00737D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723E"/>
    <w:rsid w:val="00737D7F"/>
    <w:rsid w:val="00843179"/>
    <w:rsid w:val="00CB0D34"/>
    <w:rsid w:val="00D34683"/>
    <w:rsid w:val="00DF723E"/>
    <w:rsid w:val="00EE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7F"/>
  </w:style>
  <w:style w:type="paragraph" w:styleId="Ttulo2">
    <w:name w:val="heading 2"/>
    <w:basedOn w:val="Normal"/>
    <w:link w:val="Ttulo2Car"/>
    <w:uiPriority w:val="9"/>
    <w:qFormat/>
    <w:rsid w:val="008431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HN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46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link w:val="Ttulo5Car"/>
    <w:uiPriority w:val="9"/>
    <w:qFormat/>
    <w:rsid w:val="008431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43179"/>
    <w:rPr>
      <w:rFonts w:ascii="Times New Roman" w:eastAsia="Times New Roman" w:hAnsi="Times New Roman" w:cs="Times New Roman"/>
      <w:b/>
      <w:bCs/>
      <w:sz w:val="36"/>
      <w:szCs w:val="36"/>
      <w:lang w:eastAsia="es-HN"/>
    </w:rPr>
  </w:style>
  <w:style w:type="character" w:customStyle="1" w:styleId="Ttulo5Car">
    <w:name w:val="Título 5 Car"/>
    <w:basedOn w:val="Fuentedeprrafopredeter"/>
    <w:link w:val="Ttulo5"/>
    <w:uiPriority w:val="9"/>
    <w:rsid w:val="00843179"/>
    <w:rPr>
      <w:rFonts w:ascii="Times New Roman" w:eastAsia="Times New Roman" w:hAnsi="Times New Roman" w:cs="Times New Roman"/>
      <w:b/>
      <w:bCs/>
      <w:sz w:val="20"/>
      <w:szCs w:val="20"/>
      <w:lang w:eastAsia="es-HN"/>
    </w:rPr>
  </w:style>
  <w:style w:type="paragraph" w:styleId="NormalWeb">
    <w:name w:val="Normal (Web)"/>
    <w:basedOn w:val="Normal"/>
    <w:uiPriority w:val="99"/>
    <w:unhideWhenUsed/>
    <w:rsid w:val="00843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3179"/>
    <w:rPr>
      <w:rFonts w:ascii="Tahoma" w:hAnsi="Tahoma" w:cs="Tahoma"/>
      <w:sz w:val="16"/>
      <w:szCs w:val="16"/>
    </w:rPr>
  </w:style>
  <w:style w:type="paragraph" w:customStyle="1" w:styleId="subtitel">
    <w:name w:val="subtitel"/>
    <w:basedOn w:val="Normal"/>
    <w:rsid w:val="00843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character" w:customStyle="1" w:styleId="apple-style-span">
    <w:name w:val="apple-style-span"/>
    <w:basedOn w:val="Fuentedeprrafopredeter"/>
    <w:rsid w:val="00843179"/>
  </w:style>
  <w:style w:type="character" w:customStyle="1" w:styleId="Ttulo3Car">
    <w:name w:val="Título 3 Car"/>
    <w:basedOn w:val="Fuentedeprrafopredeter"/>
    <w:link w:val="Ttulo3"/>
    <w:uiPriority w:val="9"/>
    <w:semiHidden/>
    <w:rsid w:val="00D346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vnculo">
    <w:name w:val="Hyperlink"/>
    <w:basedOn w:val="Fuentedeprrafopredeter"/>
    <w:uiPriority w:val="99"/>
    <w:semiHidden/>
    <w:unhideWhenUsed/>
    <w:rsid w:val="00EE31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mianto.net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</dc:creator>
  <cp:lastModifiedBy>Luz</cp:lastModifiedBy>
  <cp:revision>2</cp:revision>
  <dcterms:created xsi:type="dcterms:W3CDTF">2011-02-11T23:08:00Z</dcterms:created>
  <dcterms:modified xsi:type="dcterms:W3CDTF">2011-02-12T05:35:00Z</dcterms:modified>
</cp:coreProperties>
</file>